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bidi w:val="0"/>
        <w:rPr>
          <w:rFonts w:hint="eastAsia"/>
          <w:lang w:val="en-US" w:eastAsia="zh-CN"/>
        </w:rPr>
      </w:pPr>
      <w:r>
        <w:rPr>
          <w:rFonts w:hint="eastAsia"/>
          <w:lang w:val="en-US" w:eastAsia="zh-CN"/>
        </w:rPr>
        <w:t>现状及问题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b/>
          <w:bCs/>
          <w:lang w:val="en-US" w:eastAsia="zh-CN"/>
        </w:rPr>
        <w:t>商户较多</w:t>
      </w:r>
      <w:r>
        <w:rPr>
          <w:rFonts w:hint="eastAsia"/>
          <w:lang w:val="en-US" w:eastAsia="zh-CN"/>
        </w:rPr>
        <w:t>：业务集团对外租赁用户较多，管理商户640多户，水电收费为日常管理的重要工作，其中涉及电表641只，水表642只。</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b/>
          <w:bCs/>
          <w:lang w:val="en-US" w:eastAsia="zh-CN"/>
        </w:rPr>
        <w:t>核算滞后：</w:t>
      </w:r>
      <w:r>
        <w:rPr>
          <w:rFonts w:hint="eastAsia"/>
          <w:lang w:val="en-US" w:eastAsia="zh-CN"/>
        </w:rPr>
        <w:t>目前均采用人工抄表，汇总统计，核算费用，上门收取费用的水电管理模式，占用较大的人力成本，以上每个环节均存在滞后性，无法及时准确抄表统计，核算费用，上门收取。</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b/>
          <w:bCs/>
          <w:lang w:val="en-US" w:eastAsia="zh-CN"/>
        </w:rPr>
      </w:pPr>
      <w:r>
        <w:rPr>
          <w:rFonts w:hint="eastAsia"/>
          <w:b/>
          <w:bCs/>
          <w:lang w:val="en-US" w:eastAsia="zh-CN"/>
        </w:rPr>
        <w:t>费用难收：</w:t>
      </w:r>
      <w:r>
        <w:rPr>
          <w:rFonts w:hint="eastAsia"/>
          <w:b w:val="0"/>
          <w:bCs w:val="0"/>
          <w:lang w:val="en-US" w:eastAsia="zh-CN"/>
        </w:rPr>
        <w:t>缴费单据即使送到店面，业经常不能及时到达商户老板手上，到来老板手上业会由于业务或其他事由不能及时到管理处缴费；还有经营状况不同、人员素养不同很难做到及时缴费，拖欠费用屡见不鲜，甚至有反复催缴也不来缴费的情况，人为断电又会造成经营矛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b w:val="0"/>
          <w:bCs w:val="0"/>
          <w:lang w:val="en-US" w:eastAsia="zh-CN"/>
        </w:rPr>
      </w:pPr>
      <w:r>
        <w:rPr>
          <w:rFonts w:hint="eastAsia"/>
          <w:b/>
          <w:bCs/>
          <w:lang w:val="en-US" w:eastAsia="zh-CN"/>
        </w:rPr>
        <w:t>管理漏洞：</w:t>
      </w:r>
      <w:r>
        <w:rPr>
          <w:rFonts w:hint="eastAsia"/>
          <w:b w:val="0"/>
          <w:bCs w:val="0"/>
          <w:lang w:val="en-US" w:eastAsia="zh-CN"/>
        </w:rPr>
        <w:t>由于人工抄表，无法保证所有抄表数据的真实准确，漏抄少抄、表具计量不准、故障停止计量等无法及时发现造成收费漏洞。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b w:val="0"/>
          <w:bCs w:val="0"/>
          <w:lang w:val="en-US" w:eastAsia="zh-CN"/>
        </w:rPr>
      </w:pPr>
      <w:r>
        <w:rPr>
          <w:rFonts w:hint="eastAsia"/>
          <w:b/>
          <w:bCs/>
          <w:lang w:val="en-US" w:eastAsia="zh-CN"/>
        </w:rPr>
        <w:t>资金占用</w:t>
      </w:r>
      <w:r>
        <w:rPr>
          <w:rFonts w:hint="eastAsia"/>
          <w:b w:val="0"/>
          <w:bCs w:val="0"/>
          <w:lang w:val="en-US" w:eastAsia="zh-CN"/>
        </w:rPr>
        <w:t>：由于供电公司均是当月扣缴电费，由于商户电费抄收滞后，造成事实上的垫资缴费，占用来较多资金，不利于提升管理效益。</w:t>
      </w:r>
    </w:p>
    <w:p>
      <w:pPr>
        <w:pStyle w:val="2"/>
        <w:numPr>
          <w:ilvl w:val="0"/>
          <w:numId w:val="1"/>
        </w:numPr>
        <w:bidi w:val="0"/>
        <w:rPr>
          <w:rFonts w:hint="eastAsia"/>
          <w:b/>
          <w:lang w:val="en-US" w:eastAsia="zh-CN"/>
        </w:rPr>
      </w:pPr>
      <w:r>
        <w:rPr>
          <w:rFonts w:hint="eastAsia"/>
          <w:b/>
          <w:lang w:val="en-US" w:eastAsia="zh-CN"/>
        </w:rPr>
        <w:t>建议方案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b w:val="0"/>
          <w:bCs w:val="0"/>
          <w:lang w:val="en-US" w:eastAsia="zh-CN"/>
        </w:rPr>
      </w:pPr>
      <w:r>
        <w:rPr>
          <w:rFonts w:hint="eastAsia"/>
          <w:b w:val="0"/>
          <w:bCs w:val="0"/>
          <w:lang w:val="en-US" w:eastAsia="zh-CN"/>
        </w:rPr>
        <w:t>解决目前上述管理问题，可通过智能化改造和宣传，彻底改变水电收费管理模式，采用付费管理系统进行有效解决。就是通过管理手段的提升，使商户自动主动缴费，大大减低管理人力和工资成本。</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default"/>
          <w:b w:val="0"/>
          <w:bCs w:val="0"/>
          <w:lang w:val="en-US" w:eastAsia="zh-CN"/>
        </w:rPr>
      </w:pPr>
      <w:r>
        <w:rPr>
          <w:rFonts w:hint="eastAsia"/>
          <w:b w:val="0"/>
          <w:bCs w:val="0"/>
          <w:lang w:val="en-US" w:eastAsia="zh-CN"/>
        </w:rPr>
        <w:t>预付费管理系统有二种解决方案：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rPr>
          <w:rFonts w:hint="eastAsia"/>
          <w:b w:val="0"/>
          <w:bCs w:val="0"/>
          <w:lang w:val="en-US" w:eastAsia="zh-CN"/>
        </w:rPr>
        <w:t>2.1 一个是采用传统的充值卡缴费购电（水），用完自动停水停电，商户持卡到管理处缴费后，再到所用水、电表上刷卡开通水电使用。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2.2 一个是联网型预付费管理系统，通过改造安装智能水表、电表并进行组网通讯，通过后台软件实时监控，商户可通过手机微信、支付宝进行缴费充值。</w:t>
      </w:r>
    </w:p>
    <w:p>
      <w:pPr>
        <w:pStyle w:val="2"/>
        <w:numPr>
          <w:ilvl w:val="0"/>
          <w:numId w:val="0"/>
        </w:numPr>
        <w:bidi w:val="0"/>
        <w:rPr>
          <w:rFonts w:hint="eastAsia"/>
          <w:b/>
          <w:lang w:val="en-US" w:eastAsia="zh-CN"/>
        </w:rPr>
      </w:pPr>
      <w:r>
        <w:rPr>
          <w:rFonts w:hint="eastAsia"/>
          <w:b/>
          <w:lang w:val="en-US" w:eastAsia="zh-CN"/>
        </w:rPr>
        <w:t>三、方案对比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rPr>
          <w:rFonts w:hint="eastAsia"/>
          <w:b/>
          <w:bCs/>
          <w:lang w:val="en-US" w:eastAsia="zh-CN"/>
        </w:rPr>
        <w:t>1、IC卡充值预付费管理系统可以有效解决先充值购水电再使用，欠费关停的管理要求，但同时存在以下缺陷</w:t>
      </w:r>
      <w:r>
        <w:rPr>
          <w:rFonts w:hint="eastAsia"/>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rPr>
          <w:rFonts w:hint="eastAsia"/>
          <w:b w:val="0"/>
          <w:bCs w:val="0"/>
          <w:lang w:val="en-US" w:eastAsia="zh-CN"/>
        </w:rPr>
        <w:t xml:space="preserve">1.1 </w:t>
      </w:r>
      <w:r>
        <w:rPr>
          <w:rFonts w:hint="eastAsia"/>
          <w:b/>
          <w:bCs/>
          <w:lang w:val="en-US" w:eastAsia="zh-CN"/>
        </w:rPr>
        <w:t>早期产品：</w:t>
      </w:r>
      <w:r>
        <w:rPr>
          <w:rFonts w:hint="eastAsia"/>
          <w:b w:val="0"/>
          <w:bCs w:val="0"/>
          <w:lang w:val="en-US" w:eastAsia="zh-CN"/>
        </w:rPr>
        <w:t>充值卡预付费管理系统是较早出现的为来解决水电收费难题而产生的一套产品，是早期条件下的产物。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rPr>
          <w:rFonts w:hint="eastAsia"/>
          <w:b w:val="0"/>
          <w:bCs w:val="0"/>
          <w:lang w:val="en-US" w:eastAsia="zh-CN"/>
        </w:rPr>
        <w:t xml:space="preserve">1.2 </w:t>
      </w:r>
      <w:r>
        <w:rPr>
          <w:rFonts w:hint="eastAsia"/>
          <w:b/>
          <w:bCs/>
          <w:lang w:val="en-US" w:eastAsia="zh-CN"/>
        </w:rPr>
        <w:t>缴费繁锁：</w:t>
      </w:r>
      <w:r>
        <w:rPr>
          <w:rFonts w:hint="eastAsia"/>
          <w:b w:val="0"/>
          <w:bCs w:val="0"/>
          <w:lang w:val="en-US" w:eastAsia="zh-CN"/>
        </w:rPr>
        <w:t>商户要细心保管充值卡的同时，要持卡在上班时间至管理处缴费，缴费充值后还需要再到水表、电表上分别刷卡开通。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 xml:space="preserve">1.3 </w:t>
      </w:r>
      <w:r>
        <w:rPr>
          <w:rFonts w:hint="eastAsia"/>
          <w:b/>
          <w:bCs/>
          <w:lang w:val="en-US" w:eastAsia="zh-CN"/>
        </w:rPr>
        <w:t>无法提醒：</w:t>
      </w:r>
      <w:r>
        <w:rPr>
          <w:rFonts w:hint="eastAsia"/>
          <w:b w:val="0"/>
          <w:bCs w:val="0"/>
          <w:lang w:val="en-US" w:eastAsia="zh-CN"/>
        </w:rPr>
        <w:t>由于数据不能实时更新到后台，无法在商户账户余额不足时进行服务性人性化化告警提醒，会导致部分商户不能及时缴费而在经营时间内断电，影响商户经营造成管理矛盾。设备损坏无法报警处理。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rPr>
          <w:rFonts w:hint="eastAsia"/>
          <w:b w:val="0"/>
          <w:bCs w:val="0"/>
          <w:lang w:val="en-US" w:eastAsia="zh-CN"/>
        </w:rPr>
        <w:t>1</w:t>
      </w:r>
      <w:r>
        <w:rPr>
          <w:rFonts w:hint="eastAsia"/>
          <w:b/>
          <w:bCs/>
          <w:lang w:val="en-US" w:eastAsia="zh-CN"/>
        </w:rPr>
        <w:t>.4 计费漏洞：</w:t>
      </w:r>
      <w:r>
        <w:rPr>
          <w:rFonts w:hint="eastAsia"/>
          <w:b w:val="0"/>
          <w:bCs w:val="0"/>
          <w:lang w:val="en-US" w:eastAsia="zh-CN"/>
        </w:rPr>
        <w:t>由于充值卡系统的水电表均是独立运行计量计量，后台管理系统无法及时监控水电表实时运行情况，表具故障不计量、计量不扣费等问题无法及时发现，由于无需人工抄表来，此情况可能比原始表具问题更严重。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rPr>
          <w:rFonts w:hint="eastAsia"/>
          <w:b/>
          <w:bCs/>
          <w:lang w:val="en-US" w:eastAsia="zh-CN"/>
        </w:rPr>
        <w:t>1.5 管理成本</w:t>
      </w:r>
      <w:r>
        <w:rPr>
          <w:rFonts w:hint="eastAsia"/>
          <w:b w:val="0"/>
          <w:bCs w:val="0"/>
          <w:lang w:val="en-US" w:eastAsia="zh-CN"/>
        </w:rPr>
        <w:t>：由于实行来欠费即停水停电管理，商户对管理处服务的要求也相应提高，相应的收费财务人员必须随时准备等待商户上门充值，休息日也如此。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2、联网型预付费管理系统是随着物联网的普及和技术成熟而发展起来的物业水电收费管理系统，具有以下优势。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rPr>
          <w:rFonts w:hint="eastAsia"/>
          <w:b/>
          <w:bCs/>
          <w:lang w:val="en-US" w:eastAsia="zh-CN"/>
        </w:rPr>
        <w:t>2.1 成熟稳定：</w:t>
      </w:r>
      <w:r>
        <w:rPr>
          <w:rFonts w:hint="eastAsia"/>
          <w:b w:val="0"/>
          <w:bCs w:val="0"/>
          <w:lang w:val="en-US" w:eastAsia="zh-CN"/>
        </w:rPr>
        <w:t>解决了传统人工抄表收费难题，实现先购水电再使用的管理方式，而且已经广泛在高校公寓、商业综合体、综合批发市场长期使用，系统成熟产品稳定。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rPr>
          <w:rFonts w:hint="eastAsia"/>
          <w:b/>
          <w:bCs/>
          <w:lang w:val="en-US" w:eastAsia="zh-CN"/>
        </w:rPr>
        <w:t>2.2 缴费方便：</w:t>
      </w:r>
      <w:r>
        <w:rPr>
          <w:rFonts w:hint="eastAsia"/>
          <w:b w:val="0"/>
          <w:bCs w:val="0"/>
          <w:lang w:val="en-US" w:eastAsia="zh-CN"/>
        </w:rPr>
        <w:t>系统可实行商户手机支付缴费，实时到帐，自动开阀、送电的自动化管理运行模式。费用实时到达物业单位的对公账户，安全快捷。手机支付缴费、消费的方便快捷已经被社会大众接受并成为习以为常的生活方式，再进行现金充值方式已经不合时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bCs/>
          <w:lang w:val="en-US" w:eastAsia="zh-CN"/>
        </w:rPr>
        <w:t>2.3 告警提醒：</w:t>
      </w:r>
      <w:r>
        <w:rPr>
          <w:rFonts w:hint="eastAsia"/>
          <w:b w:val="0"/>
          <w:bCs w:val="0"/>
          <w:lang w:val="en-US" w:eastAsia="zh-CN"/>
        </w:rPr>
        <w:t>由于为联网运行模式，水电数据、消费信息、账户余额均实时上传后台管理电脑，可根据商户用电量，设置低限余额提醒，当账户余额不足时系统自动微信通知商户及时缴费，避免无预警断电断水影响商户正常经营。设备损坏立即报警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rPr>
          <w:rFonts w:hint="eastAsia"/>
          <w:b/>
          <w:bCs/>
          <w:lang w:val="en-US" w:eastAsia="zh-CN"/>
        </w:rPr>
        <w:t>2.4 数据查询：</w:t>
      </w:r>
      <w:r>
        <w:rPr>
          <w:rFonts w:hint="eastAsia"/>
          <w:b w:val="0"/>
          <w:bCs w:val="0"/>
          <w:lang w:val="en-US" w:eastAsia="zh-CN"/>
        </w:rPr>
        <w:t>商户可通过手机APP随时查询自己水电消费数据，账户余额信息等，做到公开透明消费，及时开心缴费，良性互动，提升管理水平。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bCs/>
          <w:lang w:val="en-US" w:eastAsia="zh-CN"/>
        </w:rPr>
        <w:t>2.5 物业联动：</w:t>
      </w:r>
      <w:r>
        <w:rPr>
          <w:rFonts w:hint="eastAsia"/>
          <w:b w:val="0"/>
          <w:bCs w:val="0"/>
          <w:lang w:val="en-US" w:eastAsia="zh-CN"/>
        </w:rPr>
        <w:t>系统支持物业费关联管理，可启用账户代扣物业费用，也可在物业费拒缴情况下自动停电管控。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bCs/>
          <w:lang w:val="en-US" w:eastAsia="zh-CN"/>
        </w:rPr>
        <w:t>2.5 汇总决策：</w:t>
      </w:r>
      <w:r>
        <w:rPr>
          <w:rFonts w:hint="eastAsia"/>
          <w:b w:val="0"/>
          <w:bCs w:val="0"/>
          <w:lang w:val="en-US" w:eastAsia="zh-CN"/>
        </w:rPr>
        <w:t>由于系统实时采集数据，系统数据真实精准，便于汇人整个集团能源管理数据，为管理决策提供数据支撑。</w:t>
      </w:r>
    </w:p>
    <w:p>
      <w:pPr>
        <w:pStyle w:val="2"/>
        <w:numPr>
          <w:ilvl w:val="0"/>
          <w:numId w:val="0"/>
        </w:numPr>
        <w:bidi w:val="0"/>
        <w:rPr>
          <w:rFonts w:hint="eastAsia"/>
          <w:b/>
          <w:lang w:val="en-US" w:eastAsia="zh-CN"/>
        </w:rPr>
      </w:pPr>
      <w:r>
        <w:rPr>
          <w:rFonts w:hint="eastAsia"/>
          <w:b/>
          <w:lang w:val="en-US" w:eastAsia="zh-CN"/>
        </w:rPr>
        <w:t>四、系统架构</w:t>
      </w:r>
    </w:p>
    <w:p>
      <w:pPr>
        <w:pStyle w:val="3"/>
        <w:bidi w:val="0"/>
        <w:rPr>
          <w:rFonts w:hint="default"/>
          <w:lang w:val="en-US" w:eastAsia="zh-CN"/>
        </w:rPr>
      </w:pPr>
      <w:r>
        <w:rPr>
          <w:rFonts w:hint="eastAsia"/>
          <w:lang w:val="en-US" w:eastAsia="zh-CN"/>
        </w:rPr>
        <w:t>1、系统架构图</w:t>
      </w:r>
    </w:p>
    <w:p>
      <w:pPr>
        <w:jc w:val="center"/>
        <w:rPr>
          <w:rFonts w:hint="eastAsia"/>
          <w:lang w:val="en-US" w:eastAsia="zh-CN"/>
        </w:rPr>
      </w:pPr>
      <w:r>
        <w:rPr>
          <w:rFonts w:ascii="宋体" w:hAnsi="宋体" w:eastAsia="宋体" w:cs="宋体"/>
          <w:sz w:val="24"/>
          <w:szCs w:val="24"/>
        </w:rPr>
        <w:drawing>
          <wp:inline distT="0" distB="0" distL="114300" distR="114300">
            <wp:extent cx="6125210" cy="3860800"/>
            <wp:effectExtent l="0" t="0" r="889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125210" cy="3860800"/>
                    </a:xfrm>
                    <a:prstGeom prst="rect">
                      <a:avLst/>
                    </a:prstGeom>
                    <a:noFill/>
                    <a:ln w="9525">
                      <a:noFill/>
                    </a:ln>
                  </pic:spPr>
                </pic:pic>
              </a:graphicData>
            </a:graphic>
          </wp:inline>
        </w:drawing>
      </w:r>
    </w:p>
    <w:p>
      <w:pPr>
        <w:pStyle w:val="3"/>
        <w:bidi w:val="0"/>
        <w:rPr>
          <w:rFonts w:hint="default"/>
          <w:lang w:val="en-US" w:eastAsia="zh-CN"/>
        </w:rPr>
      </w:pPr>
      <w:r>
        <w:rPr>
          <w:rFonts w:hint="eastAsia"/>
          <w:lang w:val="en-US" w:eastAsia="zh-CN"/>
        </w:rPr>
        <w:t>2、说明</w:t>
      </w:r>
    </w:p>
    <w:p>
      <w:pPr>
        <w:bidi w:val="0"/>
        <w:rPr>
          <w:rFonts w:hint="eastAsia"/>
          <w:lang w:val="en-US" w:eastAsia="zh-CN"/>
        </w:rPr>
      </w:pPr>
      <w:r>
        <w:rPr>
          <w:rFonts w:hint="eastAsia"/>
          <w:lang w:val="en-US" w:eastAsia="zh-CN"/>
        </w:rPr>
        <w:t>2.1 水表、电表均通过RS485联接到数据网关，数据网关通过现场网络或4G无线网络联接云服务器。</w:t>
      </w:r>
    </w:p>
    <w:p>
      <w:pPr>
        <w:bidi w:val="0"/>
        <w:rPr>
          <w:rFonts w:hint="eastAsia"/>
          <w:lang w:val="en-US" w:eastAsia="zh-CN"/>
        </w:rPr>
      </w:pPr>
      <w:r>
        <w:rPr>
          <w:rFonts w:hint="eastAsia"/>
          <w:lang w:val="en-US" w:eastAsia="zh-CN"/>
        </w:rPr>
        <w:t>2.2水表如果分户安装可选择NB-IOT无线智能水表，无需网络布线，保证稳定运行。</w:t>
      </w:r>
    </w:p>
    <w:p>
      <w:pPr>
        <w:pStyle w:val="2"/>
        <w:numPr>
          <w:numId w:val="0"/>
        </w:numPr>
        <w:bidi w:val="0"/>
        <w:rPr>
          <w:rFonts w:hint="eastAsia"/>
          <w:lang w:val="en-US" w:eastAsia="zh-CN"/>
        </w:rPr>
      </w:pPr>
      <w:r>
        <w:rPr>
          <w:rFonts w:hint="eastAsia"/>
          <w:lang w:val="en-US" w:eastAsia="zh-CN"/>
        </w:rPr>
        <w:t>五、设计思路</w:t>
      </w:r>
    </w:p>
    <w:p>
      <w:pPr>
        <w:pStyle w:val="3"/>
        <w:bidi w:val="0"/>
      </w:pPr>
      <w:r>
        <w:rPr>
          <w:rFonts w:hint="default"/>
        </w:rPr>
        <w:t>1、预付费管理目的</w:t>
      </w:r>
    </w:p>
    <w:p>
      <w:pPr>
        <w:bidi w:val="0"/>
        <w:rPr>
          <w:rFonts w:hint="default"/>
        </w:rPr>
      </w:pPr>
      <w:r>
        <w:rPr>
          <w:rFonts w:hint="default"/>
        </w:rPr>
        <w:t>1.1 预付费管理实现预付费用、欠费关断，解决收费难的问题。</w:t>
      </w:r>
    </w:p>
    <w:p>
      <w:pPr>
        <w:bidi w:val="0"/>
        <w:rPr>
          <w:rFonts w:hint="default"/>
        </w:rPr>
      </w:pPr>
      <w:r>
        <w:rPr>
          <w:rFonts w:hint="default"/>
        </w:rPr>
        <w:t>1.2 预付费是一种管理手段，实现网络实时抄表，计量收费，避免了人工抄表和上门催费，减少了大量的人员和人工浪费。</w:t>
      </w:r>
    </w:p>
    <w:p>
      <w:pPr>
        <w:bidi w:val="0"/>
        <w:rPr>
          <w:rFonts w:hint="default"/>
        </w:rPr>
      </w:pPr>
      <w:r>
        <w:rPr>
          <w:rFonts w:hint="default"/>
        </w:rPr>
        <w:t>1.3 我们经过经过充分调研和实践开发了水电联合管理系统产品，该产品获得了国家颁发的实用新型专利，专利号为：ZL201020276665.2。</w:t>
      </w:r>
    </w:p>
    <w:p>
      <w:pPr>
        <w:bidi w:val="0"/>
        <w:rPr>
          <w:rFonts w:hint="default" w:eastAsiaTheme="minorEastAsia"/>
          <w:lang w:val="en-US" w:eastAsia="zh-CN"/>
        </w:rPr>
      </w:pPr>
      <w:r>
        <w:rPr>
          <w:rFonts w:hint="default"/>
        </w:rPr>
        <w:t xml:space="preserve">1.4 </w:t>
      </w:r>
      <w:r>
        <w:rPr>
          <w:rFonts w:hint="eastAsia"/>
          <w:lang w:val="en-US" w:eastAsia="zh-CN"/>
        </w:rPr>
        <w:t>实行欠费停电不停水的预付费管理策略，既能达到预付费管理的目的，有避免阀控水表的搞成本多维护弊端，是科学合理的物业水电管理系统。</w:t>
      </w:r>
    </w:p>
    <w:p>
      <w:pPr>
        <w:pStyle w:val="3"/>
        <w:bidi w:val="0"/>
        <w:rPr>
          <w:rFonts w:hint="eastAsia" w:eastAsia="宋体"/>
          <w:lang w:val="en-US" w:eastAsia="zh-CN"/>
        </w:rPr>
      </w:pPr>
      <w:r>
        <w:rPr>
          <w:rFonts w:hint="default"/>
        </w:rPr>
        <w:t>2、水电联合管控实现方</w:t>
      </w:r>
      <w:r>
        <w:rPr>
          <w:rFonts w:hint="eastAsia"/>
          <w:lang w:val="en-US" w:eastAsia="zh-CN"/>
        </w:rPr>
        <w:t>案</w:t>
      </w:r>
    </w:p>
    <w:p>
      <w:pPr>
        <w:bidi w:val="0"/>
        <w:rPr>
          <w:rFonts w:hint="default"/>
        </w:rPr>
      </w:pPr>
      <w:r>
        <w:rPr>
          <w:rFonts w:hint="default"/>
        </w:rPr>
        <w:t>2.1 采用智能远程费控电表，用户交费后后台软件直接通过网络把充值数据发送到终端计量表计。用户欠费后可自动或手动拉闸断电。</w:t>
      </w:r>
    </w:p>
    <w:p>
      <w:pPr>
        <w:bidi w:val="0"/>
        <w:rPr>
          <w:rFonts w:hint="default"/>
        </w:rPr>
      </w:pPr>
      <w:r>
        <w:rPr>
          <w:rFonts w:hint="default"/>
        </w:rPr>
        <w:t>2.2 采用光电直读式智能水表，实现水表数据与电表数据同时通过网络上传到管理中心。可同时接入热水表、热能表、然气表等收费计量表具。</w:t>
      </w:r>
    </w:p>
    <w:p>
      <w:pPr>
        <w:bidi w:val="0"/>
        <w:rPr>
          <w:rFonts w:hint="default"/>
        </w:rPr>
      </w:pPr>
      <w:r>
        <w:rPr>
          <w:rFonts w:hint="default"/>
        </w:rPr>
        <w:t>2.3 采用分类账户统计统一账户扣费的方式，实现水电账户绑定，水电联动管控，账户欠费时拉闸断电，有效实现自动缴费。</w:t>
      </w:r>
    </w:p>
    <w:p>
      <w:pPr>
        <w:bidi w:val="0"/>
        <w:rPr>
          <w:rFonts w:hint="default"/>
        </w:rPr>
      </w:pPr>
      <w:r>
        <w:rPr>
          <w:rFonts w:hint="default"/>
        </w:rPr>
        <w:t>2.4 水电联合管控系统既解决了老式预付费电表、阀控水表存在的弊端，大大降低后期维护成本，提高设备及系统的稳定可靠性，同时解决预付费用、无费自动缴费，实现了科学化、人性化管理。</w:t>
      </w:r>
    </w:p>
    <w:p>
      <w:pPr>
        <w:bidi w:val="0"/>
        <w:rPr>
          <w:rFonts w:hint="default"/>
        </w:rPr>
      </w:pPr>
      <w:r>
        <w:rPr>
          <w:rFonts w:hint="default"/>
        </w:rPr>
        <w:t>2.5水电联合管控系统可对设备进行在线监测，及时发现、维护、解决问题。</w:t>
      </w:r>
    </w:p>
    <w:p>
      <w:pPr>
        <w:widowControl w:val="0"/>
        <w:numPr>
          <w:ilvl w:val="0"/>
          <w:numId w:val="0"/>
        </w:numPr>
        <w:bidi w:val="0"/>
        <w:jc w:val="both"/>
        <w:rPr>
          <w:rFonts w:hint="default"/>
          <w:b/>
          <w:bCs/>
          <w:sz w:val="44"/>
          <w:szCs w:val="44"/>
          <w:lang w:val="en-US" w:eastAsia="zh-CN"/>
        </w:rPr>
      </w:pPr>
    </w:p>
    <w:p>
      <w:pPr>
        <w:widowControl w:val="0"/>
        <w:numPr>
          <w:ilvl w:val="0"/>
          <w:numId w:val="0"/>
        </w:numPr>
        <w:bidi w:val="0"/>
        <w:jc w:val="both"/>
        <w:rPr>
          <w:rFonts w:hint="default"/>
          <w:b/>
          <w:bCs/>
          <w:sz w:val="44"/>
          <w:szCs w:val="44"/>
          <w:lang w:val="en-US" w:eastAsia="zh-CN"/>
        </w:rPr>
      </w:pPr>
    </w:p>
    <w:p>
      <w:pPr>
        <w:widowControl w:val="0"/>
        <w:numPr>
          <w:ilvl w:val="0"/>
          <w:numId w:val="0"/>
        </w:numPr>
        <w:bidi w:val="0"/>
        <w:jc w:val="both"/>
        <w:rPr>
          <w:rFonts w:hint="default"/>
          <w:b/>
          <w:bCs/>
          <w:sz w:val="44"/>
          <w:szCs w:val="44"/>
          <w:lang w:val="en-US" w:eastAsia="zh-CN"/>
        </w:rPr>
      </w:pPr>
    </w:p>
    <w:p>
      <w:pPr>
        <w:widowControl w:val="0"/>
        <w:numPr>
          <w:ilvl w:val="0"/>
          <w:numId w:val="0"/>
        </w:numPr>
        <w:bidi w:val="0"/>
        <w:jc w:val="both"/>
        <w:rPr>
          <w:rFonts w:hint="default"/>
          <w:b/>
          <w:bCs/>
          <w:sz w:val="44"/>
          <w:szCs w:val="44"/>
          <w:lang w:val="en-US" w:eastAsia="zh-CN"/>
        </w:rPr>
      </w:pPr>
    </w:p>
    <w:p>
      <w:pPr>
        <w:numPr>
          <w:ilvl w:val="0"/>
          <w:numId w:val="0"/>
        </w:numPr>
        <w:ind w:leftChars="0"/>
        <w:rPr>
          <w:rFonts w:hint="default"/>
          <w:lang w:val="en-US" w:eastAsia="zh-CN"/>
        </w:rPr>
      </w:pPr>
      <w:bookmarkStart w:id="0" w:name="_GoBack"/>
      <w:bookmarkEnd w:id="0"/>
    </w:p>
    <w:sectPr>
      <w:headerReference r:id="rId3" w:type="default"/>
      <w:pgSz w:w="11906" w:h="16838"/>
      <w:pgMar w:top="1270" w:right="1293" w:bottom="121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heme="minorEastAsia"/>
        <w:lang w:val="en-US" w:eastAsia="zh-CN"/>
      </w:rPr>
    </w:pPr>
    <w:r>
      <w:drawing>
        <wp:anchor distT="3810" distB="0" distL="114935" distR="114935" simplePos="0" relativeHeight="251658240" behindDoc="0" locked="0" layoutInCell="1" allowOverlap="1">
          <wp:simplePos x="0" y="0"/>
          <wp:positionH relativeFrom="column">
            <wp:posOffset>123190</wp:posOffset>
          </wp:positionH>
          <wp:positionV relativeFrom="paragraph">
            <wp:posOffset>38735</wp:posOffset>
          </wp:positionV>
          <wp:extent cx="1325880" cy="236855"/>
          <wp:effectExtent l="0" t="0" r="7620" b="10795"/>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
                  <a:stretch>
                    <a:fillRect/>
                  </a:stretch>
                </pic:blipFill>
                <pic:spPr>
                  <a:xfrm>
                    <a:off x="0" y="0"/>
                    <a:ext cx="1325880" cy="236855"/>
                  </a:xfrm>
                  <a:prstGeom prst="rect">
                    <a:avLst/>
                  </a:prstGeom>
                  <a:noFill/>
                  <a:ln w="9525">
                    <a:noFill/>
                    <a:miter/>
                  </a:ln>
                </pic:spPr>
              </pic:pic>
            </a:graphicData>
          </a:graphic>
        </wp:anchor>
      </w:drawing>
    </w:r>
    <w:r>
      <w:rPr>
        <w:rFonts w:hint="eastAsia"/>
        <w:lang w:val="en-US" w:eastAsia="zh-CN"/>
      </w:rPr>
      <w:t xml:space="preserve">                                            </w:t>
    </w:r>
    <w:r>
      <w:rPr>
        <w:rFonts w:hint="eastAsia" w:ascii="微软雅黑" w:hAnsi="微软雅黑" w:eastAsia="微软雅黑" w:cs="微软雅黑"/>
        <w:sz w:val="24"/>
        <w:szCs w:val="24"/>
        <w:lang w:val="en-US" w:eastAsia="zh-CN"/>
      </w:rPr>
      <w:t>常州瑞信电子科技有限公司</w:t>
    </w:r>
    <w:r>
      <w:rPr>
        <w:rFonts w:hint="eastAsia"/>
        <w:lang w:val="en-US" w:eastAsia="zh-CN"/>
      </w:rPr>
      <w:t xml:space="preserve">  </w:t>
    </w:r>
    <w:r>
      <w:rPr>
        <w:rFonts w:hint="eastAsia"/>
        <w:sz w:val="24"/>
        <w:szCs w:val="24"/>
        <w:lang w:val="en-US" w:eastAsia="zh-CN"/>
      </w:rPr>
      <w:t>http://www.ruixin.co</w:t>
    </w:r>
    <w:r>
      <w:rPr>
        <w:rFonts w:hint="eastAsia"/>
        <w:lang w:val="en-US" w:eastAsia="zh-CN"/>
      </w:rPr>
      <w:t xml:space="preserve">                       </w:t>
    </w: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073C4"/>
    <w:multiLevelType w:val="singleLevel"/>
    <w:tmpl w:val="87A073C4"/>
    <w:lvl w:ilvl="0" w:tentative="0">
      <w:start w:val="1"/>
      <w:numFmt w:val="chineseCounting"/>
      <w:suff w:val="nothing"/>
      <w:lvlText w:val="%1、"/>
      <w:lvlJc w:val="left"/>
      <w:rPr>
        <w:rFonts w:hint="eastAsia"/>
      </w:rPr>
    </w:lvl>
  </w:abstractNum>
  <w:abstractNum w:abstractNumId="1">
    <w:nsid w:val="9625FC60"/>
    <w:multiLevelType w:val="singleLevel"/>
    <w:tmpl w:val="9625FC60"/>
    <w:lvl w:ilvl="0" w:tentative="0">
      <w:start w:val="1"/>
      <w:numFmt w:val="decimal"/>
      <w:suff w:val="nothing"/>
      <w:lvlText w:val="%1、"/>
      <w:lvlJc w:val="left"/>
    </w:lvl>
  </w:abstractNum>
  <w:abstractNum w:abstractNumId="2">
    <w:nsid w:val="AC552626"/>
    <w:multiLevelType w:val="singleLevel"/>
    <w:tmpl w:val="AC55262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A55C9"/>
    <w:rsid w:val="0DF731AF"/>
    <w:rsid w:val="1F5757FA"/>
    <w:rsid w:val="2AA95593"/>
    <w:rsid w:val="2C575601"/>
    <w:rsid w:val="2FCE3549"/>
    <w:rsid w:val="3D064196"/>
    <w:rsid w:val="3F9C4CF1"/>
    <w:rsid w:val="45D7458E"/>
    <w:rsid w:val="4DDB6DF8"/>
    <w:rsid w:val="4E32341B"/>
    <w:rsid w:val="58B375EF"/>
    <w:rsid w:val="638E0FDB"/>
    <w:rsid w:val="6E7077FE"/>
    <w:rsid w:val="6FBB6DD9"/>
    <w:rsid w:val="742B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360" w:lineRule="auto"/>
      <w:outlineLvl w:val="0"/>
    </w:pPr>
    <w:rPr>
      <w:rFonts w:asciiTheme="minorAscii" w:hAnsiTheme="minorAscii"/>
      <w:b/>
      <w:kern w:val="44"/>
      <w:sz w:val="36"/>
    </w:rPr>
  </w:style>
  <w:style w:type="paragraph" w:styleId="3">
    <w:name w:val="heading 2"/>
    <w:basedOn w:val="1"/>
    <w:next w:val="1"/>
    <w:unhideWhenUsed/>
    <w:qFormat/>
    <w:uiPriority w:val="0"/>
    <w:pPr>
      <w:spacing w:before="0" w:beforeAutospacing="1" w:after="0" w:afterAutospacing="1" w:line="380" w:lineRule="exact"/>
      <w:jc w:val="left"/>
      <w:outlineLvl w:val="1"/>
    </w:pPr>
    <w:rPr>
      <w:rFonts w:hint="eastAsia" w:ascii="宋体" w:hAnsi="宋体" w:eastAsia="宋体" w:cs="宋体"/>
      <w:b/>
      <w:kern w:val="0"/>
      <w:sz w:val="32"/>
      <w:szCs w:val="36"/>
      <w:lang w:bidi="ar"/>
    </w:rPr>
  </w:style>
  <w:style w:type="paragraph" w:styleId="4">
    <w:name w:val="heading 3"/>
    <w:basedOn w:val="1"/>
    <w:next w:val="1"/>
    <w:unhideWhenUsed/>
    <w:qFormat/>
    <w:uiPriority w:val="0"/>
    <w:pPr>
      <w:keepNext/>
      <w:keepLines/>
      <w:spacing w:before="20" w:beforeLines="0" w:beforeAutospacing="0" w:after="20" w:afterLines="0" w:afterAutospacing="0" w:line="240" w:lineRule="auto"/>
      <w:outlineLvl w:val="2"/>
    </w:pPr>
    <w:rPr>
      <w:rFonts w:ascii="Calibri" w:hAnsi="Calibri" w:eastAsia="宋体"/>
      <w:b/>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2020-02-25T01:50:00Z</dcterms:created>
  <dc:creator>Administrator</dc:creator>
  <cp:lastModifiedBy>瑞信科技</cp:lastModifiedBy>
  <dcterms:modified xsi:type="dcterms:W3CDTF">2020-05-02T10:26:06Z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